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975"/>
        <w:gridCol w:w="1427"/>
        <w:gridCol w:w="284"/>
        <w:gridCol w:w="3053"/>
        <w:gridCol w:w="236"/>
        <w:gridCol w:w="2664"/>
        <w:gridCol w:w="322"/>
        <w:gridCol w:w="919"/>
      </w:tblGrid>
      <w:tr w:rsidR="004363AB" w:rsidRPr="004363AB" w:rsidTr="003070FE">
        <w:trPr>
          <w:trHeight w:val="255"/>
        </w:trPr>
        <w:tc>
          <w:tcPr>
            <w:tcW w:w="1975"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Level</w:t>
            </w:r>
          </w:p>
        </w:tc>
        <w:tc>
          <w:tcPr>
            <w:tcW w:w="1427"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3053"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Provinsi Aceh</w:t>
            </w:r>
          </w:p>
        </w:tc>
        <w:tc>
          <w:tcPr>
            <w:tcW w:w="23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2664"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322"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919"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3070FE">
        <w:trPr>
          <w:trHeight w:val="106"/>
        </w:trPr>
        <w:tc>
          <w:tcPr>
            <w:tcW w:w="340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Komponen</w:t>
            </w:r>
          </w:p>
        </w:tc>
        <w:tc>
          <w:tcPr>
            <w:tcW w:w="284"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3289"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Implementasi Kinerja</w:t>
            </w:r>
          </w:p>
        </w:tc>
        <w:tc>
          <w:tcPr>
            <w:tcW w:w="2664"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322"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919"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3070FE">
        <w:trPr>
          <w:trHeight w:val="255"/>
        </w:trPr>
        <w:tc>
          <w:tcPr>
            <w:tcW w:w="1975"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427"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3053"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66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322"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919"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3070FE">
        <w:trPr>
          <w:trHeight w:val="255"/>
        </w:trPr>
        <w:tc>
          <w:tcPr>
            <w:tcW w:w="3686" w:type="dxa"/>
            <w:gridSpan w:val="3"/>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Isu dalam PGA REDD+</w:t>
            </w:r>
          </w:p>
        </w:tc>
        <w:tc>
          <w:tcPr>
            <w:tcW w:w="6275" w:type="dxa"/>
            <w:gridSpan w:val="4"/>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I. Perencanaan Kehutanan dan Tata Ruang </w:t>
            </w:r>
          </w:p>
        </w:tc>
        <w:tc>
          <w:tcPr>
            <w:tcW w:w="919"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3070FE">
        <w:trPr>
          <w:trHeight w:val="300"/>
        </w:trPr>
        <w:tc>
          <w:tcPr>
            <w:tcW w:w="340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84"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a. Tingkat penerimaan (legitimasi) atas dokumen RTRWP/RTRWK/Kehutanan</w:t>
            </w:r>
          </w:p>
        </w:tc>
      </w:tr>
      <w:tr w:rsidR="004363AB" w:rsidRPr="004363AB" w:rsidTr="003070FE">
        <w:trPr>
          <w:trHeight w:val="300"/>
        </w:trPr>
        <w:tc>
          <w:tcPr>
            <w:tcW w:w="340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068"/>
        <w:gridCol w:w="2316"/>
        <w:gridCol w:w="1084"/>
        <w:gridCol w:w="1627"/>
        <w:gridCol w:w="1123"/>
        <w:gridCol w:w="1571"/>
        <w:gridCol w:w="1382"/>
      </w:tblGrid>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FIa1</w:t>
            </w:r>
          </w:p>
        </w:tc>
        <w:tc>
          <w:tcPr>
            <w:tcW w:w="1068" w:type="dxa"/>
            <w:vMerge w:val="restart"/>
            <w:tcBorders>
              <w:top w:val="nil"/>
              <w:left w:val="single" w:sz="4" w:space="0" w:color="auto"/>
              <w:bottom w:val="single" w:sz="4" w:space="0" w:color="000000"/>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Bagaimana (tingkat) penerimaan (legitimasi) </w:t>
            </w:r>
            <w:r w:rsidRPr="004363AB">
              <w:rPr>
                <w:rFonts w:ascii="Times New Roman" w:eastAsia="Times New Roman" w:hAnsi="Times New Roman" w:cs="Times New Roman"/>
                <w:i/>
                <w:iCs/>
                <w:color w:val="000000"/>
                <w:sz w:val="20"/>
                <w:szCs w:val="20"/>
                <w:lang w:eastAsia="id-ID"/>
              </w:rPr>
              <w:t xml:space="preserve">stakeholder </w:t>
            </w:r>
            <w:r w:rsidRPr="004363AB">
              <w:rPr>
                <w:rFonts w:ascii="Times New Roman" w:eastAsia="Times New Roman" w:hAnsi="Times New Roman" w:cs="Times New Roman"/>
                <w:color w:val="000000"/>
                <w:sz w:val="20"/>
                <w:szCs w:val="20"/>
                <w:lang w:eastAsia="id-ID"/>
              </w:rPr>
              <w:t>atas dokumen RTRWP/RTRWK/Kehutanan?</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RTRW masih di bahas di DPR. Ditargetkan bulan Agustus 2012 rampung. Perdebatan masih seputar penentuan status dan pengembangan kawasan hutan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3</w:t>
            </w:r>
          </w:p>
        </w:tc>
      </w:tr>
      <w:tr w:rsidR="004363AB" w:rsidRPr="004363AB" w:rsidTr="004363AB">
        <w:trPr>
          <w:trHeight w:val="280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PU</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RTRW, masih draft dan dibahas di DPRA. Masih ada persoalan dalam penetuan luas kawasan lindung. Kubu pertama menghendaki kawasan lindung diperluas atau tetap. Namun kubu dua, menolaknya karena sudah tidak sesuai lagi dengan perkembangan masyarakat Aceh yang bergantung pada hasil hutan untuk pemenuhan hidup sehari-hari.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277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Dokumenn RTRW sampe sekarang belum rampung karena adanya tari menarik dalam penentuan kawasan lindung. Sekelompok masyarakat menghendaki luas kawasan ditambah, ada juga yang menghendaki dikurangi daru jumlah eksisting (3,4 juta ha)</w:t>
            </w:r>
            <w:r w:rsidRPr="004363AB">
              <w:rPr>
                <w:rFonts w:ascii="Times New Roman" w:eastAsia="Times New Roman" w:hAnsi="Times New Roman" w:cs="Times New Roman"/>
                <w:color w:val="000000"/>
                <w:sz w:val="20"/>
                <w:szCs w:val="20"/>
                <w:lang w:eastAsia="id-ID"/>
              </w:rPr>
              <w:br/>
            </w:r>
            <w:r w:rsidRPr="004363AB">
              <w:rPr>
                <w:rFonts w:ascii="Times New Roman" w:eastAsia="Times New Roman" w:hAnsi="Times New Roman" w:cs="Times New Roman"/>
                <w:color w:val="000000"/>
                <w:sz w:val="20"/>
                <w:szCs w:val="20"/>
                <w:lang w:eastAsia="id-ID"/>
              </w:rPr>
              <w:br/>
              <w:t>Belum adanya kajian yang memadai untuk penetepan RTRW</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RTRW belum tersusun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683"/>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Asosiasi Pengusaha</w:t>
            </w:r>
          </w:p>
        </w:tc>
        <w:tc>
          <w:tcPr>
            <w:tcW w:w="1627" w:type="dxa"/>
            <w:tcBorders>
              <w:top w:val="nil"/>
              <w:left w:val="nil"/>
              <w:bottom w:val="single" w:sz="4" w:space="0" w:color="auto"/>
              <w:right w:val="nil"/>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Asosiasi Pengusaha di Aceh</w:t>
            </w:r>
          </w:p>
        </w:tc>
        <w:tc>
          <w:tcPr>
            <w:tcW w:w="1123" w:type="dxa"/>
            <w:tcBorders>
              <w:top w:val="nil"/>
              <w:left w:val="nil"/>
              <w:bottom w:val="single" w:sz="4" w:space="0" w:color="auto"/>
              <w:right w:val="nil"/>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2953" w:type="dxa"/>
            <w:gridSpan w:val="2"/>
            <w:tcBorders>
              <w:top w:val="single" w:sz="4" w:space="0" w:color="auto"/>
              <w:left w:val="single" w:sz="4" w:space="0" w:color="auto"/>
              <w:bottom w:val="single" w:sz="4" w:space="0" w:color="auto"/>
              <w:right w:val="single" w:sz="4" w:space="0" w:color="000000"/>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Asosiasi Pengusaha di Aceh</w:t>
            </w:r>
          </w:p>
        </w:tc>
      </w:tr>
      <w:tr w:rsidR="004363AB" w:rsidRPr="004363AB" w:rsidTr="004363AB">
        <w:trPr>
          <w:trHeight w:val="153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Akademisi</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RTRW yang baru  masih menjadi perdebatan, dan hingga kini masih belum rampung. Problemmnya, ada sekitar 7 Kabupaten yang menuntut kawasan hutan diperkecil, dan diperbesar kawasan budidaya</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4363AB" w:rsidRPr="004363AB" w:rsidTr="004363AB">
        <w:trPr>
          <w:trHeight w:val="945"/>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Wawancara – 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89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FIb1</w:t>
            </w:r>
          </w:p>
        </w:tc>
        <w:tc>
          <w:tcPr>
            <w:tcW w:w="1068" w:type="dxa"/>
            <w:vMerge w:val="restart"/>
            <w:tcBorders>
              <w:top w:val="nil"/>
              <w:left w:val="single" w:sz="4" w:space="0" w:color="auto"/>
              <w:bottom w:val="nil"/>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Jumlah luas kawasan hutan yang dikukuhkan dan dite-rima oleh para pihak</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Sudah tidak sesuai kodisi eksisting. Namun yang secara resmi ditentukan, ada sekira 3,3 juta ha kawasan hutan. Tapi kalau dengan daerah perairan sekitar 3,5juta ha.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298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nil"/>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Banyak pandangan yang berbeda, antara mereka yang ingin mempertahankan kawasan lindung dan kawasan produksi. Disamping itu ada pesoalan kalau dikaitkan dengan batas kawasan hutan versi mukim. Bahkan ada yang meragukan data 3 jt ha sisa kawasan hutan, dan memperkirakan kawasan hutan tinggal 1 jt ha saja.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127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nil"/>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Data tidak akurat. Sudah idak sesuai dengan kondisi kekinian. Katanya ada sekitar 3 juta ha. Tapi kalau dintinjau lagi apa masih sama dan relevan dengan sekarang?</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3</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nil"/>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UPT BKPH</w:t>
            </w:r>
          </w:p>
        </w:tc>
        <w:tc>
          <w:tcPr>
            <w:tcW w:w="5703" w:type="dxa"/>
            <w:gridSpan w:val="4"/>
            <w:tcBorders>
              <w:top w:val="single" w:sz="4" w:space="0" w:color="auto"/>
              <w:left w:val="nil"/>
              <w:bottom w:val="single" w:sz="4" w:space="0" w:color="auto"/>
              <w:right w:val="single" w:sz="4" w:space="0" w:color="000000"/>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UPT BKPH di Aceh</w:t>
            </w:r>
          </w:p>
        </w:tc>
      </w:tr>
      <w:tr w:rsidR="004363AB" w:rsidRPr="004363AB" w:rsidTr="004363AB">
        <w:trPr>
          <w:trHeight w:val="2100"/>
        </w:trPr>
        <w:tc>
          <w:tcPr>
            <w:tcW w:w="714" w:type="dxa"/>
            <w:tcBorders>
              <w:top w:val="nil"/>
              <w:left w:val="nil"/>
              <w:bottom w:val="single" w:sz="4" w:space="0" w:color="auto"/>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68" w:type="dxa"/>
            <w:tcBorders>
              <w:top w:val="nil"/>
              <w:left w:val="single" w:sz="4" w:space="0" w:color="auto"/>
              <w:bottom w:val="single" w:sz="4" w:space="0" w:color="auto"/>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2316" w:type="dxa"/>
            <w:tcBorders>
              <w:top w:val="nil"/>
              <w:left w:val="single" w:sz="4" w:space="0" w:color="auto"/>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Akademisi</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Kalau berdasarkan RTRW yang lama, jumlah yang diterima dan ditetapkan seluas 3,3juta hektar. Namun sekarang luasan itu diminta </w:t>
            </w:r>
            <w:r w:rsidRPr="004363AB">
              <w:rPr>
                <w:rFonts w:ascii="Times New Roman" w:eastAsia="Times New Roman" w:hAnsi="Times New Roman" w:cs="Times New Roman"/>
                <w:color w:val="000000"/>
                <w:sz w:val="20"/>
                <w:szCs w:val="20"/>
                <w:lang w:eastAsia="id-ID"/>
              </w:rPr>
              <w:lastRenderedPageBreak/>
              <w:t xml:space="preserve">ditinjau ulang dalam RTRW yang baru dengan mempertimbangkan kebutuhan masyarakat yang juga terus meningkat.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2</w:t>
            </w:r>
          </w:p>
        </w:tc>
      </w:tr>
      <w:tr w:rsidR="004363AB" w:rsidRPr="004363AB" w:rsidTr="004363AB">
        <w:trPr>
          <w:trHeight w:val="36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lastRenderedPageBreak/>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4363AB" w:rsidRPr="004363AB" w:rsidTr="004363AB">
        <w:trPr>
          <w:trHeight w:val="9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Wawancara – 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FIc1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yang terakomodir</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178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Sampe sekarang belum ada data tentang jumlah ruang kelola bagi masyarakat adat/lokal. Ini daikerenakan pemerintah kurang memahami konsep ruang adat sebagimana yang diperjuangkan oleh Mukim.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UPT BKPH</w:t>
            </w:r>
          </w:p>
        </w:tc>
        <w:tc>
          <w:tcPr>
            <w:tcW w:w="5703" w:type="dxa"/>
            <w:gridSpan w:val="4"/>
            <w:tcBorders>
              <w:top w:val="single" w:sz="4" w:space="0" w:color="auto"/>
              <w:left w:val="nil"/>
              <w:bottom w:val="single" w:sz="4" w:space="0" w:color="auto"/>
              <w:right w:val="single" w:sz="4" w:space="0" w:color="000000"/>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UPT BKPH di Aceh</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Belum ada pegakuan penuhdari pemerintah</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102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Akademisi</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Belum ada dokumen yang secara eksplisit berapa luasan bagi masyarakat adat untuk mengelola hutan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Wawancara – 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51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FFFF00"/>
                <w:sz w:val="20"/>
                <w:szCs w:val="20"/>
                <w:lang w:eastAsia="id-ID"/>
              </w:rPr>
            </w:pPr>
            <w:r w:rsidRPr="004363AB">
              <w:rPr>
                <w:rFonts w:ascii="Times New Roman" w:eastAsia="Times New Roman" w:hAnsi="Times New Roman" w:cs="Times New Roman"/>
                <w:color w:val="FFFF00"/>
                <w:sz w:val="20"/>
                <w:szCs w:val="20"/>
                <w:lang w:eastAsia="id-ID"/>
              </w:rPr>
              <w:t> </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Jumlah konflik </w:t>
            </w:r>
            <w:r w:rsidRPr="004363AB">
              <w:rPr>
                <w:rFonts w:ascii="Times New Roman" w:eastAsia="Times New Roman" w:hAnsi="Times New Roman" w:cs="Times New Roman"/>
                <w:color w:val="000000"/>
                <w:sz w:val="20"/>
                <w:szCs w:val="20"/>
                <w:lang w:eastAsia="id-ID"/>
              </w:rPr>
              <w:lastRenderedPageBreak/>
              <w:t>penguasaan kawasan yang dapat difasilitasi penyelesaiannya dalam setiap tahun</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 xml:space="preserve">Apakah jumlah konflik penguasaan kawasan </w:t>
            </w:r>
            <w:r w:rsidRPr="004363AB">
              <w:rPr>
                <w:rFonts w:ascii="Times New Roman" w:eastAsia="Times New Roman" w:hAnsi="Times New Roman" w:cs="Times New Roman"/>
                <w:color w:val="000000"/>
                <w:sz w:val="20"/>
                <w:szCs w:val="20"/>
                <w:lang w:eastAsia="id-ID"/>
              </w:rPr>
              <w:lastRenderedPageBreak/>
              <w:t>yang dapat difasilitasi penyelesaiannya dalam setiap tahun sudah memadai?</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Adanya moratorium </w:t>
            </w:r>
            <w:r w:rsidRPr="004363AB">
              <w:rPr>
                <w:rFonts w:ascii="Times New Roman" w:eastAsia="Times New Roman" w:hAnsi="Times New Roman" w:cs="Times New Roman"/>
                <w:color w:val="000000"/>
                <w:sz w:val="20"/>
                <w:szCs w:val="20"/>
                <w:lang w:eastAsia="id-ID"/>
              </w:rPr>
              <w:lastRenderedPageBreak/>
              <w:t>meredam adanya konflik</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1</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FFFF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FFFF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UPT BKPH</w:t>
            </w:r>
          </w:p>
        </w:tc>
        <w:tc>
          <w:tcPr>
            <w:tcW w:w="5703" w:type="dxa"/>
            <w:gridSpan w:val="4"/>
            <w:tcBorders>
              <w:top w:val="single" w:sz="4" w:space="0" w:color="auto"/>
              <w:left w:val="nil"/>
              <w:bottom w:val="single" w:sz="4" w:space="0" w:color="auto"/>
              <w:right w:val="single" w:sz="4" w:space="0" w:color="000000"/>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UPT BKPH di Aceh</w:t>
            </w:r>
          </w:p>
        </w:tc>
      </w:tr>
      <w:tr w:rsidR="004363AB" w:rsidRPr="004363AB" w:rsidTr="004363AB">
        <w:trPr>
          <w:trHeight w:val="102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FFFF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Konflik masih ada. Fasilitasi kerap sulit dilakukan. Karena kerap aparat ikut terlibat di dalamnya. Itu yang menyulitkan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FFFF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Akademisi</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memiliki data yang pasti</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FId1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Hasil mediasi bisa diterima oleh semua pihak dan dijalankan secara konsisten</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178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Sangat rendah konflik penguasaan kawasan yang difasilitasi penyelesaiannya. Kalaupun difasilitasi selalu mengambang. Sebagai contoh konflik lahan di Singkil antara masyarakat dengan Novasindo.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UPT BKPH</w:t>
            </w:r>
          </w:p>
        </w:tc>
        <w:tc>
          <w:tcPr>
            <w:tcW w:w="5703" w:type="dxa"/>
            <w:gridSpan w:val="4"/>
            <w:tcBorders>
              <w:top w:val="single" w:sz="4" w:space="0" w:color="auto"/>
              <w:left w:val="nil"/>
              <w:bottom w:val="single" w:sz="4" w:space="0" w:color="auto"/>
              <w:right w:val="single" w:sz="4" w:space="0" w:color="000000"/>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UPT BKPH di Aceh</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Banyak kasusyang tak pernah tuntas</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80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Akademisi</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Pasca moratorium logging, konflik memang banyak berkurang, meski ada beberapa insiden di lapangan, namun tidak sampai berbentuk konflik besar. Yang sering adalah seruan atau ekspresi penolakan masyarakat. Misalnya, penolakan masyarakat di Kecamatan </w:t>
            </w:r>
            <w:r w:rsidRPr="004363AB">
              <w:rPr>
                <w:rFonts w:ascii="Times New Roman" w:eastAsia="Times New Roman" w:hAnsi="Times New Roman" w:cs="Times New Roman"/>
                <w:color w:val="000000"/>
                <w:sz w:val="20"/>
                <w:szCs w:val="20"/>
                <w:lang w:eastAsia="id-ID"/>
              </w:rPr>
              <w:lastRenderedPageBreak/>
              <w:t xml:space="preserve">Jeumpa Aceh Barat yang menolak pertambangan karena dianggap bisa berdampakak buruk di mayarakat.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1</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255"/>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Isu dalam PGA REDD+</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2711"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II. Pengaturan Hak  </w:t>
            </w:r>
          </w:p>
        </w:tc>
        <w:tc>
          <w:tcPr>
            <w:tcW w:w="1123"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1571"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p>
        </w:tc>
      </w:tr>
      <w:tr w:rsidR="004363AB" w:rsidRPr="004363AB" w:rsidTr="004363AB">
        <w:trPr>
          <w:trHeight w:val="6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4363AB">
              <w:rPr>
                <w:rFonts w:ascii="Times New Roman" w:eastAsia="Times New Roman" w:hAnsi="Times New Roman" w:cs="Times New Roman"/>
                <w:b/>
                <w:bCs/>
                <w:color w:val="000000"/>
                <w:sz w:val="20"/>
                <w:szCs w:val="20"/>
                <w:lang w:eastAsia="id-ID"/>
              </w:rPr>
              <w:br/>
              <w:t xml:space="preserve">   masyarakat dan bisnis di Kementerian/SKPD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 Kementerian/Dinas Kehutanan (Unit Pemberi Izin)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FIIa1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2316"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6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4363AB">
              <w:rPr>
                <w:rFonts w:ascii="Times New Roman" w:eastAsia="Times New Roman" w:hAnsi="Times New Roman" w:cs="Times New Roman"/>
                <w:b/>
                <w:bCs/>
                <w:color w:val="000000"/>
                <w:sz w:val="20"/>
                <w:szCs w:val="20"/>
                <w:lang w:eastAsia="id-ID"/>
              </w:rPr>
              <w:br/>
              <w:t xml:space="preserve">   masyarakat dan bisnis di Kementerian/SKPD </w:t>
            </w:r>
            <w:r w:rsidRPr="004363AB">
              <w:rPr>
                <w:rFonts w:ascii="Times New Roman" w:eastAsia="Times New Roman" w:hAnsi="Times New Roman" w:cs="Times New Roman"/>
                <w:b/>
                <w:bCs/>
                <w:color w:val="000000"/>
                <w:sz w:val="20"/>
                <w:szCs w:val="20"/>
                <w:lang w:eastAsia="id-ID"/>
              </w:rPr>
              <w:br/>
              <w:t xml:space="preserve"> </w:t>
            </w:r>
          </w:p>
        </w:tc>
      </w:tr>
      <w:tr w:rsidR="004363AB" w:rsidRPr="004363AB" w:rsidTr="004363AB">
        <w:trPr>
          <w:trHeight w:val="6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4363AB">
              <w:rPr>
                <w:rFonts w:ascii="Times New Roman" w:eastAsia="Times New Roman" w:hAnsi="Times New Roman" w:cs="Times New Roman"/>
                <w:b/>
                <w:bCs/>
                <w:color w:val="000000"/>
                <w:sz w:val="20"/>
                <w:szCs w:val="20"/>
                <w:lang w:eastAsia="id-ID"/>
              </w:rPr>
              <w:br/>
              <w:t xml:space="preserve">  Kementerian/Dinas Kehutanan (Unit Pemberi Izin)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FIIb1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Jumlah luas kawasan hutan yang tumpang tindih dengan penggunaan lahan </w:t>
            </w:r>
            <w:r w:rsidRPr="004363AB">
              <w:rPr>
                <w:rFonts w:ascii="Times New Roman" w:eastAsia="Times New Roman" w:hAnsi="Times New Roman" w:cs="Times New Roman"/>
                <w:color w:val="000000"/>
                <w:sz w:val="20"/>
                <w:szCs w:val="20"/>
                <w:lang w:eastAsia="id-ID"/>
              </w:rPr>
              <w:lastRenderedPageBreak/>
              <w:t xml:space="preserve">lain  </w:t>
            </w:r>
          </w:p>
        </w:tc>
        <w:tc>
          <w:tcPr>
            <w:tcW w:w="2316"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45"/>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c. Jumlah konflik antar sesama penggunaan kawasan hutan </w:t>
            </w:r>
            <w:r w:rsidRPr="004363AB">
              <w:rPr>
                <w:rFonts w:ascii="Times New Roman" w:eastAsia="Times New Roman" w:hAnsi="Times New Roman" w:cs="Times New Roman"/>
                <w:b/>
                <w:bCs/>
                <w:color w:val="000000"/>
                <w:sz w:val="20"/>
                <w:szCs w:val="20"/>
                <w:lang w:eastAsia="id-ID"/>
              </w:rPr>
              <w:br/>
              <w:t xml:space="preserve">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51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FIIc1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Jumlah konflik antar sesama penggunaan kawasan hutan </w:t>
            </w:r>
          </w:p>
        </w:tc>
        <w:tc>
          <w:tcPr>
            <w:tcW w:w="2316"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Wawancara - 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 Pemerintah (Pusat &amp; Daerah), LSM, AMAN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255"/>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Jumlah praktik terbaik (</w:t>
            </w:r>
            <w:r w:rsidRPr="004363AB">
              <w:rPr>
                <w:rFonts w:ascii="Times New Roman" w:eastAsia="Times New Roman" w:hAnsi="Times New Roman" w:cs="Times New Roman"/>
                <w:i/>
                <w:iCs/>
                <w:color w:val="000000"/>
                <w:sz w:val="20"/>
                <w:szCs w:val="20"/>
                <w:lang w:eastAsia="id-ID"/>
              </w:rPr>
              <w:t>best practices</w:t>
            </w:r>
            <w:r w:rsidRPr="004363AB">
              <w:rPr>
                <w:rFonts w:ascii="Times New Roman" w:eastAsia="Times New Roman" w:hAnsi="Times New Roman" w:cs="Times New Roman"/>
                <w:color w:val="000000"/>
                <w:sz w:val="20"/>
                <w:szCs w:val="20"/>
                <w:lang w:eastAsia="id-ID"/>
              </w:rPr>
              <w:t>) atas resolusi konflik terkait pengakuan hak masyarakat adat/lokal</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konflik</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22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pernah ada praktik yang berhasil. Kalau ada praktik berhasil yang dijadikan contoh, tidak mungkin kita terus berteriak menuntuk hak kelola mukim untuk diwujudkan.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FIId1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Pencegahan kekerasan</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Sudah ada pengawasan dari polhut</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3</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Hampir tidak ada best practices karena semua kasus konflik masih berlarut-larut penyelesaiannya.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Kekrasan sering tidak bisa dihindari.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FIId2</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Penyelesaian konflik</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Semua bisa dibicarakan dengan mukim.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331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ada sistem pencegahan kekerasan dari pemda. </w:t>
            </w:r>
            <w:r w:rsidRPr="004363AB">
              <w:rPr>
                <w:rFonts w:ascii="Times New Roman" w:eastAsia="Times New Roman" w:hAnsi="Times New Roman" w:cs="Times New Roman"/>
                <w:color w:val="000000"/>
                <w:sz w:val="20"/>
                <w:szCs w:val="20"/>
                <w:lang w:eastAsia="id-ID"/>
              </w:rPr>
              <w:br/>
            </w:r>
            <w:r w:rsidRPr="004363AB">
              <w:rPr>
                <w:rFonts w:ascii="Times New Roman" w:eastAsia="Times New Roman" w:hAnsi="Times New Roman" w:cs="Times New Roman"/>
                <w:color w:val="000000"/>
                <w:sz w:val="20"/>
                <w:szCs w:val="20"/>
                <w:lang w:eastAsia="id-ID"/>
              </w:rPr>
              <w:br/>
              <w:t>Dengan belum adanya kejelasan tentang hak kelola adat atau kedaulatan Mukim merupakan sinyalemen bahwa pemda mengkonstruksi sendiri potensi terjadinya konflik dan kekerasan. Adanya aparat keamanan seperti polisi hutan bukan cara untuk mencegah kekerasan, malah bisa menimbulkan provokasi</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Mukim dan gampong pada dasarnya institusi yang paling tepat dalam penyelesaiaan konflik atau sengketa. Kita punya jaminan legal melalui Qanun Mukim, tapi dalam implementasi sulit dilakukan, soalnya kita hak ada kerap berahdapan dengan kekuatan yang lebih besar, yaitu perusahaan. Kadang melibatkan aparat juga.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FIId3</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Penerimaan para </w:t>
            </w:r>
            <w:r w:rsidRPr="004363AB">
              <w:rPr>
                <w:rFonts w:ascii="Times New Roman" w:eastAsia="Times New Roman" w:hAnsi="Times New Roman" w:cs="Times New Roman"/>
                <w:color w:val="000000"/>
                <w:sz w:val="20"/>
                <w:szCs w:val="20"/>
                <w:lang w:eastAsia="id-ID"/>
              </w:rPr>
              <w:lastRenderedPageBreak/>
              <w:t>pihak</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 xml:space="preserve">Apakah resolusi konflik terkait pengakuan hak </w:t>
            </w:r>
            <w:r w:rsidRPr="004363AB">
              <w:rPr>
                <w:rFonts w:ascii="Times New Roman" w:eastAsia="Times New Roman" w:hAnsi="Times New Roman" w:cs="Times New Roman"/>
                <w:color w:val="000000"/>
                <w:sz w:val="20"/>
                <w:szCs w:val="20"/>
                <w:lang w:eastAsia="id-ID"/>
              </w:rPr>
              <w:lastRenderedPageBreak/>
              <w:t>masy adat/lokal sudah mencakup penerimaan para pihak?</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481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Bisa dibilang tidak ada. Secara legal memang ada peradilan adat Sebagaimana dalam Surat Keputusan Bersama (SKB) Gubernur Aceh, Kepala Kepolisian Daerah dan Ketua Majelis Ada Aceh 189/677/2011, tetapi ini tidak berkait langsung dengan peradilan soal konflik kehutanan, malainkan pelanggaran yang bersifat ringan yang ada hubungannaya dengan pelanggaran adat-istiadat. </w:t>
            </w:r>
            <w:r w:rsidRPr="004363AB">
              <w:rPr>
                <w:rFonts w:ascii="Times New Roman" w:eastAsia="Times New Roman" w:hAnsi="Times New Roman" w:cs="Times New Roman"/>
                <w:color w:val="000000"/>
                <w:sz w:val="20"/>
                <w:szCs w:val="20"/>
                <w:lang w:eastAsia="id-ID"/>
              </w:rPr>
              <w:br/>
            </w:r>
            <w:r w:rsidRPr="004363AB">
              <w:rPr>
                <w:rFonts w:ascii="Times New Roman" w:eastAsia="Times New Roman" w:hAnsi="Times New Roman" w:cs="Times New Roman"/>
                <w:color w:val="000000"/>
                <w:sz w:val="20"/>
                <w:szCs w:val="20"/>
                <w:lang w:eastAsia="id-ID"/>
              </w:rPr>
              <w:br/>
              <w:t xml:space="preserve">Mungkin adanya Moratorium Logging bisa diposisikan sebagai resolusi konflik, sebab dengan adanya moratorium ini, pembukaan lahan baru tidak terjadi lagi.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153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Apa bila udah dimusyawarahkan semua keputusan mengenai suatu sengketa harus diterima semua pihak. Tapi mukim sebagai lembaga penyelesaiaan sengkata dalam kasus lahan kan tidak pernah diwujudkan.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FIId4</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Komitmen tetap </w:t>
            </w:r>
            <w:r w:rsidRPr="004363AB">
              <w:rPr>
                <w:rFonts w:ascii="Times New Roman" w:eastAsia="Times New Roman" w:hAnsi="Times New Roman" w:cs="Times New Roman"/>
                <w:color w:val="000000"/>
                <w:sz w:val="20"/>
                <w:szCs w:val="20"/>
                <w:lang w:eastAsia="id-ID"/>
              </w:rPr>
              <w:lastRenderedPageBreak/>
              <w:t>dijalankan</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 xml:space="preserve">Apakah dalam resolusi konflik terkait pengakuan </w:t>
            </w:r>
            <w:r w:rsidRPr="004363AB">
              <w:rPr>
                <w:rFonts w:ascii="Times New Roman" w:eastAsia="Times New Roman" w:hAnsi="Times New Roman" w:cs="Times New Roman"/>
                <w:color w:val="000000"/>
                <w:sz w:val="20"/>
                <w:szCs w:val="20"/>
                <w:lang w:eastAsia="id-ID"/>
              </w:rPr>
              <w:lastRenderedPageBreak/>
              <w:t>hak masyarakat adat/lokal, komitmen yang ada tetap dijalankan?</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FFFF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141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Kalau moratorium logging diposisikan sebagai resolusi konflik, dalam arti meminimalisir konflik, keberadaan moratorium sangat diterima oleh masyarakat.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29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Sulit menjalankan komitmen. Ujung-ujungnya masyarakat ada juga dikalahkan. Kadang juga dikelabui. Dan pelakunnya bisa negara sendiri. Pernah ada misalnya kasus sengketa tanah antara maysrakat adat Galagala di Kabupaten Singkil. BPN, malah mengeluarkat sertifikat HGU untuk PT Umbertraco/Nafasindo</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4363AB" w:rsidRPr="004363AB" w:rsidTr="004363AB">
        <w:trPr>
          <w:trHeight w:val="255"/>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 Media cetak</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FIIe1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Jurnalis</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bisa diukur apakah meningkat atau tidak. Biasanya pemberitaan bersifat insidental.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FIIe2</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Cakupan berita  mengenai pengakuan pejabat atas hak masyarakat adat</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Jurnalis</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Pengakuan pejabat terhadap masyarakat adat dalam konteks pengelolaan hutan sebenanrnya tidak ada. Pejabat lebih cenderung mengakui hak kebudayaan ritual yang selama ini banyak ditangani oleh Majelis Masyarakat Adat (MAA).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FIIe3</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Posisi berita dalam media cetak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Posisi berita dalam media cetak sudah memadai?</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Jurnalis</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Isu masyarakat adat tak pernah menjadi atau menempatai posisi yang seksi, yang ditonjolkan malah pada isu lingkungannya. Semisal tentang pemberian ijin usaha d Rawa Tripa.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3</w:t>
            </w:r>
          </w:p>
        </w:tc>
      </w:tr>
      <w:tr w:rsidR="004363AB" w:rsidRPr="004363AB" w:rsidTr="004363A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FIIe4</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Posisi media dalam pemberitaan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Posisi media dalam pemberitaan sudah memadai?</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Jurnalis</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Posisi media cukup memiliki pengaruh dalam membentuk opini masyarakat</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3</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255"/>
        </w:trPr>
        <w:tc>
          <w:tcPr>
            <w:tcW w:w="4098" w:type="dxa"/>
            <w:gridSpan w:val="3"/>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Isu dalam PGA REDD+</w:t>
            </w:r>
          </w:p>
        </w:tc>
        <w:tc>
          <w:tcPr>
            <w:tcW w:w="5405" w:type="dxa"/>
            <w:gridSpan w:val="4"/>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Wawancara – 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Pengusaha, Organisasi Masyarakat Adat, LSM</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FIIIa1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Jumlah biaya transaksi pengurusan izin pengelolaan hutan </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Jumlah biaya transaksi pengurusan izin pengelolaan hutan</w:t>
            </w: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tahu biaya transaksi pengurusan izin</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66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pernah memngurus ijin pengelolaan hutan</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69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4363AB">
              <w:rPr>
                <w:rFonts w:ascii="Times New Roman" w:eastAsia="Times New Roman" w:hAnsi="Times New Roman" w:cs="Times New Roman"/>
                <w:b/>
                <w:bCs/>
                <w:color w:val="000000"/>
                <w:sz w:val="20"/>
                <w:szCs w:val="20"/>
                <w:lang w:eastAsia="id-ID"/>
              </w:rPr>
              <w:br/>
              <w:t xml:space="preserve">  pemegang ijin</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Peraturan Prosedur Pelaksanaan Pengurusan Izin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Panduan Analisis </w:t>
            </w:r>
            <w:r w:rsidRPr="004363AB">
              <w:rPr>
                <w:rFonts w:ascii="Times New Roman" w:eastAsia="Times New Roman" w:hAnsi="Times New Roman" w:cs="Times New Roman"/>
                <w:b/>
                <w:bCs/>
                <w:color w:val="000000"/>
                <w:sz w:val="20"/>
                <w:szCs w:val="20"/>
                <w:lang w:eastAsia="id-ID"/>
              </w:rPr>
              <w:lastRenderedPageBreak/>
              <w:t>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lastRenderedPageBreak/>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Kategori Data </w:t>
            </w:r>
            <w:r w:rsidRPr="004363AB">
              <w:rPr>
                <w:rFonts w:ascii="Times New Roman" w:eastAsia="Times New Roman" w:hAnsi="Times New Roman" w:cs="Times New Roman"/>
                <w:b/>
                <w:bCs/>
                <w:color w:val="000000"/>
                <w:sz w:val="20"/>
                <w:szCs w:val="20"/>
                <w:lang w:eastAsia="id-ID"/>
              </w:rPr>
              <w:lastRenderedPageBreak/>
              <w:t>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Kategori Data </w:t>
            </w:r>
            <w:r w:rsidRPr="004363AB">
              <w:rPr>
                <w:rFonts w:ascii="Times New Roman" w:eastAsia="Times New Roman" w:hAnsi="Times New Roman" w:cs="Times New Roman"/>
                <w:b/>
                <w:bCs/>
                <w:color w:val="000000"/>
                <w:sz w:val="20"/>
                <w:szCs w:val="20"/>
                <w:lang w:eastAsia="id-ID"/>
              </w:rPr>
              <w:lastRenderedPageBreak/>
              <w:t>Wawancara</w:t>
            </w:r>
          </w:p>
        </w:tc>
      </w:tr>
      <w:tr w:rsidR="004363AB" w:rsidRPr="004363AB" w:rsidTr="004363AB">
        <w:trPr>
          <w:trHeight w:val="91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lastRenderedPageBreak/>
              <w:t>FIIIb1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Jumlah tahapan dan bentuk persyaratan setiap tahapan dalam pengurusan izin </w:t>
            </w:r>
          </w:p>
        </w:tc>
        <w:tc>
          <w:tcPr>
            <w:tcW w:w="2316" w:type="dxa"/>
            <w:vMerge w:val="restart"/>
            <w:tcBorders>
              <w:top w:val="nil"/>
              <w:left w:val="single" w:sz="4" w:space="0" w:color="auto"/>
              <w:bottom w:val="single" w:sz="4" w:space="0" w:color="000000"/>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Dalam Qanun Nomor 15 2002 Tentang Izin Kehutanan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c>
          <w:tcPr>
            <w:tcW w:w="1571"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Dalam Qanun hanya ada penjelasan tentang Bab Tata Cara Permohonan, pasal  11.Proses yang secara eksplisithanya ada dua tahapam: Pengajuan permohonan dan penandatanganan, serta penerbitan Izin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945"/>
        </w:trPr>
        <w:tc>
          <w:tcPr>
            <w:tcW w:w="714"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Dinas Pertanian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255"/>
        </w:trPr>
        <w:tc>
          <w:tcPr>
            <w:tcW w:w="714"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BPN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255"/>
        </w:trPr>
        <w:tc>
          <w:tcPr>
            <w:tcW w:w="4098" w:type="dxa"/>
            <w:gridSpan w:val="3"/>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Isu dalam PGA REDD+</w:t>
            </w:r>
          </w:p>
        </w:tc>
        <w:tc>
          <w:tcPr>
            <w:tcW w:w="5405" w:type="dxa"/>
            <w:gridSpan w:val="4"/>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63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4363AB">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17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FIVa1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2316" w:type="dxa"/>
            <w:vMerge w:val="restart"/>
            <w:tcBorders>
              <w:top w:val="nil"/>
              <w:left w:val="single" w:sz="4" w:space="0" w:color="auto"/>
              <w:bottom w:val="single" w:sz="4" w:space="0" w:color="000000"/>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ada data tentang pengkuan untuk masyarakat ada. Karena belum ada permohonan yang resmi. </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ada data tentang pengkuan untuk masyarakat ada. Karena belum ada permohonan yang resmi.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1020"/>
        </w:trPr>
        <w:tc>
          <w:tcPr>
            <w:tcW w:w="714"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Dinas Pertanian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data atau pencatatan tentang kelompok adat yang mengelola hutan. Ini karena hutan adat sudah masuk dalam hutan negara</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765"/>
        </w:trPr>
        <w:tc>
          <w:tcPr>
            <w:tcW w:w="714"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BPN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Ketegori pencatatan penguasaan berdasarkan masyarakata adat tidak ada</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Panduan Analisis </w:t>
            </w:r>
            <w:r w:rsidRPr="004363AB">
              <w:rPr>
                <w:rFonts w:ascii="Times New Roman" w:eastAsia="Times New Roman" w:hAnsi="Times New Roman" w:cs="Times New Roman"/>
                <w:b/>
                <w:bCs/>
                <w:color w:val="000000"/>
                <w:sz w:val="20"/>
                <w:szCs w:val="20"/>
                <w:lang w:eastAsia="id-ID"/>
              </w:rPr>
              <w:lastRenderedPageBreak/>
              <w:t>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lastRenderedPageBreak/>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Kategori Data </w:t>
            </w:r>
            <w:r w:rsidRPr="004363AB">
              <w:rPr>
                <w:rFonts w:ascii="Times New Roman" w:eastAsia="Times New Roman" w:hAnsi="Times New Roman" w:cs="Times New Roman"/>
                <w:b/>
                <w:bCs/>
                <w:color w:val="000000"/>
                <w:sz w:val="20"/>
                <w:szCs w:val="20"/>
                <w:lang w:eastAsia="id-ID"/>
              </w:rPr>
              <w:lastRenderedPageBreak/>
              <w:t>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Kategori Data </w:t>
            </w:r>
            <w:r w:rsidRPr="004363AB">
              <w:rPr>
                <w:rFonts w:ascii="Times New Roman" w:eastAsia="Times New Roman" w:hAnsi="Times New Roman" w:cs="Times New Roman"/>
                <w:b/>
                <w:bCs/>
                <w:color w:val="000000"/>
                <w:sz w:val="20"/>
                <w:szCs w:val="20"/>
                <w:lang w:eastAsia="id-ID"/>
              </w:rPr>
              <w:lastRenderedPageBreak/>
              <w:t>Wawancara</w:t>
            </w:r>
          </w:p>
        </w:tc>
      </w:tr>
      <w:tr w:rsidR="004363AB" w:rsidRPr="004363AB" w:rsidTr="004363A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lastRenderedPageBreak/>
              <w:t>FIVb1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c. Persentase hutan yang memiliki pengelola (KPH)</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Kementerian Kehutanan &amp; Dinas Kehutanan (Provinsi &amp; Kabupaten)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949"/>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FIVc1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Persentase hutan yang memiliki pengelola (KPH)</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FIVd1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Jumlah pengelolaan hutan berbasis ecological services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Di dinas tidak ada data. Dikelola oleh Taman Nasional Gunung Lueser, Jasa Linggkungan di Aceh Tenggara.</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255"/>
        </w:trPr>
        <w:tc>
          <w:tcPr>
            <w:tcW w:w="4098" w:type="dxa"/>
            <w:gridSpan w:val="3"/>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Isu dalam PGA REDD+</w:t>
            </w:r>
          </w:p>
        </w:tc>
        <w:tc>
          <w:tcPr>
            <w:tcW w:w="5405" w:type="dxa"/>
            <w:gridSpan w:val="4"/>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Laporan Inspektorat, BPKP &amp; BPK, Bawasda</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FVa1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Jumlah pelanggaran pengguna-an anggaran di tingkat provinsi dan kab/kota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BPK, BPKP, BAWASDA, INSPEKTORAT</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BPK tidak mengauditbidang kehutanan kaena langsung ditangani BPK Pusat. </w:t>
            </w:r>
            <w:r w:rsidRPr="004363AB">
              <w:rPr>
                <w:rFonts w:ascii="Times New Roman" w:eastAsia="Times New Roman" w:hAnsi="Times New Roman" w:cs="Times New Roman"/>
                <w:color w:val="000000"/>
                <w:sz w:val="20"/>
                <w:szCs w:val="20"/>
                <w:lang w:eastAsia="id-ID"/>
              </w:rPr>
              <w:br/>
            </w:r>
            <w:r w:rsidRPr="004363AB">
              <w:rPr>
                <w:rFonts w:ascii="Times New Roman" w:eastAsia="Times New Roman" w:hAnsi="Times New Roman" w:cs="Times New Roman"/>
                <w:color w:val="000000"/>
                <w:sz w:val="20"/>
                <w:szCs w:val="20"/>
                <w:lang w:eastAsia="id-ID"/>
              </w:rPr>
              <w:br/>
              <w:t xml:space="preserve">Inspektorat berkeberatan memberikan dokumen karena </w:t>
            </w:r>
            <w:r w:rsidRPr="004363AB">
              <w:rPr>
                <w:rFonts w:ascii="Times New Roman" w:eastAsia="Times New Roman" w:hAnsi="Times New Roman" w:cs="Times New Roman"/>
                <w:color w:val="000000"/>
                <w:sz w:val="20"/>
                <w:szCs w:val="20"/>
                <w:lang w:eastAsia="id-ID"/>
              </w:rPr>
              <w:lastRenderedPageBreak/>
              <w:t>dianggap urusan internal SKPA</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Kementrian &amp; Dinas Kehutanan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FVb1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Jumlah sanksi administratif serius (pencabutan izin, dan denda, yang telah dijatuhkan)</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Kepolisian (Nasional &amp; Daerah)</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FVc1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Jumlah kasus pidana kehutanan yang diajukan/diproses oleh polisi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Polda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89 Kasus pada tahun 2011. Untuk kasus tahun 2012, belum ada rekap</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4</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585"/>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4363AB">
              <w:rPr>
                <w:rFonts w:ascii="Times New Roman" w:eastAsia="Times New Roman" w:hAnsi="Times New Roman" w:cs="Times New Roman"/>
                <w:b/>
                <w:bCs/>
                <w:color w:val="000000"/>
                <w:sz w:val="20"/>
                <w:szCs w:val="20"/>
                <w:lang w:eastAsia="id-ID"/>
              </w:rPr>
              <w:br/>
              <w:t xml:space="preserve">  diputuskan oleh MA</w:t>
            </w:r>
            <w:r w:rsidRPr="004363AB">
              <w:rPr>
                <w:rFonts w:ascii="Times New Roman" w:eastAsia="Times New Roman" w:hAnsi="Times New Roman" w:cs="Times New Roman"/>
                <w:b/>
                <w:bCs/>
                <w:color w:val="000000"/>
                <w:sz w:val="20"/>
                <w:szCs w:val="20"/>
                <w:lang w:eastAsia="id-ID"/>
              </w:rPr>
              <w:br/>
              <w:t xml:space="preserve">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Kepolisian (Nasional &amp; Daerah)</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FVd1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Jumlah kasus terkait kehutanan (korupsi, AML, Pidanan LH, atau Pajak yang </w:t>
            </w:r>
            <w:r w:rsidRPr="004363AB">
              <w:rPr>
                <w:rFonts w:ascii="Times New Roman" w:eastAsia="Times New Roman" w:hAnsi="Times New Roman" w:cs="Times New Roman"/>
                <w:sz w:val="20"/>
                <w:szCs w:val="20"/>
                <w:lang w:eastAsia="id-ID"/>
              </w:rPr>
              <w:lastRenderedPageBreak/>
              <w:t>terkait kehutanan) yang diputuskan oleh MA</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Polda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e. Index integritas KPK sektor kehutanan</w:t>
            </w:r>
            <w:r w:rsidRPr="004363AB">
              <w:rPr>
                <w:rFonts w:ascii="Times New Roman" w:eastAsia="Times New Roman" w:hAnsi="Times New Roman" w:cs="Times New Roman"/>
                <w:b/>
                <w:bCs/>
                <w:color w:val="000000"/>
                <w:sz w:val="20"/>
                <w:szCs w:val="20"/>
                <w:lang w:eastAsia="id-ID"/>
              </w:rPr>
              <w:br/>
              <w:t xml:space="preserve">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Hasil Survai KPK tentang Integritas</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FVe1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Index integritas KPK sektor kehutanan</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KPK &amp; TII</w:t>
            </w:r>
          </w:p>
        </w:tc>
        <w:tc>
          <w:tcPr>
            <w:tcW w:w="1627"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f. Index persepsi korupsi di lokasi assesmen (TII)</w:t>
            </w:r>
            <w:r w:rsidRPr="004363AB">
              <w:rPr>
                <w:rFonts w:ascii="Times New Roman" w:eastAsia="Times New Roman" w:hAnsi="Times New Roman" w:cs="Times New Roman"/>
                <w:b/>
                <w:bCs/>
                <w:color w:val="000000"/>
                <w:sz w:val="20"/>
                <w:szCs w:val="20"/>
                <w:lang w:eastAsia="id-ID"/>
              </w:rPr>
              <w:br/>
            </w:r>
            <w:r w:rsidRPr="004363AB">
              <w:rPr>
                <w:rFonts w:ascii="Times New Roman" w:eastAsia="Times New Roman" w:hAnsi="Times New Roman" w:cs="Times New Roman"/>
                <w:b/>
                <w:bCs/>
                <w:color w:val="000000"/>
                <w:sz w:val="20"/>
                <w:szCs w:val="20"/>
                <w:lang w:eastAsia="id-ID"/>
              </w:rPr>
              <w:br/>
            </w:r>
            <w:r w:rsidRPr="004363AB">
              <w:rPr>
                <w:rFonts w:ascii="Times New Roman" w:eastAsia="Times New Roman" w:hAnsi="Times New Roman" w:cs="Times New Roman"/>
                <w:b/>
                <w:bCs/>
                <w:color w:val="000000"/>
                <w:sz w:val="20"/>
                <w:szCs w:val="20"/>
                <w:lang w:eastAsia="id-ID"/>
              </w:rPr>
              <w:br/>
              <w:t xml:space="preserve">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Hasil Survai Persepsi Transparansi Internasional Indonesia (TII)</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FVf1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Index persepsi korupsi di lokasi assesmen (TII)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KPK &amp; TII</w:t>
            </w:r>
          </w:p>
        </w:tc>
        <w:tc>
          <w:tcPr>
            <w:tcW w:w="1627"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F2DDDC"/>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615"/>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4363AB">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4363AB">
              <w:rPr>
                <w:rFonts w:ascii="Times New Roman" w:eastAsia="Times New Roman" w:hAnsi="Times New Roman" w:cs="Times New Roman"/>
                <w:b/>
                <w:bCs/>
                <w:color w:val="000000"/>
                <w:sz w:val="20"/>
                <w:szCs w:val="20"/>
                <w:lang w:eastAsia="id-ID"/>
              </w:rPr>
              <w:br/>
            </w:r>
            <w:r w:rsidRPr="004363AB">
              <w:rPr>
                <w:rFonts w:ascii="Times New Roman" w:eastAsia="Times New Roman" w:hAnsi="Times New Roman" w:cs="Times New Roman"/>
                <w:b/>
                <w:bCs/>
                <w:color w:val="000000"/>
                <w:sz w:val="20"/>
                <w:szCs w:val="20"/>
                <w:lang w:eastAsia="id-ID"/>
              </w:rPr>
              <w:br/>
            </w:r>
            <w:r w:rsidRPr="004363AB">
              <w:rPr>
                <w:rFonts w:ascii="Times New Roman" w:eastAsia="Times New Roman" w:hAnsi="Times New Roman" w:cs="Times New Roman"/>
                <w:b/>
                <w:bCs/>
                <w:color w:val="000000"/>
                <w:sz w:val="20"/>
                <w:szCs w:val="20"/>
                <w:lang w:eastAsia="id-ID"/>
              </w:rPr>
              <w:br/>
            </w:r>
            <w:r w:rsidRPr="004363AB">
              <w:rPr>
                <w:rFonts w:ascii="Times New Roman" w:eastAsia="Times New Roman" w:hAnsi="Times New Roman" w:cs="Times New Roman"/>
                <w:b/>
                <w:bCs/>
                <w:color w:val="000000"/>
                <w:sz w:val="20"/>
                <w:szCs w:val="20"/>
                <w:lang w:eastAsia="id-ID"/>
              </w:rPr>
              <w:br/>
              <w:t xml:space="preserve">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Laporan BPK</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FVg1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Nilai kerugian negara pada Sa-tuan Kerja Pengelola Hutan/ Unit Pengelola Hutan, yang didasarka</w:t>
            </w:r>
            <w:r w:rsidRPr="004363AB">
              <w:rPr>
                <w:rFonts w:ascii="Times New Roman" w:eastAsia="Times New Roman" w:hAnsi="Times New Roman" w:cs="Times New Roman"/>
                <w:sz w:val="20"/>
                <w:szCs w:val="20"/>
                <w:lang w:eastAsia="id-ID"/>
              </w:rPr>
              <w:lastRenderedPageBreak/>
              <w:t xml:space="preserve">n atas hasil pemerik-saan Laporan Keuangan Satuan Kerja tersebut oleh BPK RI.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 </w:t>
            </w:r>
          </w:p>
        </w:tc>
        <w:tc>
          <w:tcPr>
            <w:tcW w:w="1084" w:type="dxa"/>
            <w:tcBorders>
              <w:top w:val="nil"/>
              <w:left w:val="nil"/>
              <w:bottom w:val="single" w:sz="4" w:space="0" w:color="auto"/>
              <w:right w:val="single" w:sz="4" w:space="0" w:color="auto"/>
            </w:tcBorders>
            <w:shd w:val="clear" w:color="000000" w:fill="FFFFFF"/>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BPK</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h. Jumlah pengaduan masyarakat tentang kinerja pengelolaan hutan</w:t>
            </w:r>
            <w:r w:rsidRPr="004363AB">
              <w:rPr>
                <w:rFonts w:ascii="Times New Roman" w:eastAsia="Times New Roman" w:hAnsi="Times New Roman" w:cs="Times New Roman"/>
                <w:b/>
                <w:bCs/>
                <w:color w:val="000000"/>
                <w:sz w:val="20"/>
                <w:szCs w:val="20"/>
                <w:lang w:eastAsia="id-ID"/>
              </w:rPr>
              <w:br/>
            </w:r>
            <w:r w:rsidRPr="004363AB">
              <w:rPr>
                <w:rFonts w:ascii="Times New Roman" w:eastAsia="Times New Roman" w:hAnsi="Times New Roman" w:cs="Times New Roman"/>
                <w:b/>
                <w:bCs/>
                <w:color w:val="000000"/>
                <w:sz w:val="20"/>
                <w:szCs w:val="20"/>
                <w:lang w:eastAsia="id-ID"/>
              </w:rPr>
              <w:br/>
            </w:r>
            <w:r w:rsidRPr="004363AB">
              <w:rPr>
                <w:rFonts w:ascii="Times New Roman" w:eastAsia="Times New Roman" w:hAnsi="Times New Roman" w:cs="Times New Roman"/>
                <w:b/>
                <w:bCs/>
                <w:color w:val="000000"/>
                <w:sz w:val="20"/>
                <w:szCs w:val="20"/>
                <w:lang w:eastAsia="id-ID"/>
              </w:rPr>
              <w:br/>
            </w:r>
            <w:r w:rsidRPr="004363AB">
              <w:rPr>
                <w:rFonts w:ascii="Times New Roman" w:eastAsia="Times New Roman" w:hAnsi="Times New Roman" w:cs="Times New Roman"/>
                <w:b/>
                <w:bCs/>
                <w:color w:val="000000"/>
                <w:sz w:val="20"/>
                <w:szCs w:val="20"/>
                <w:lang w:eastAsia="id-ID"/>
              </w:rPr>
              <w:br/>
              <w:t xml:space="preserve"> </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Kementerian &amp; Dinas Kehutanan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FVh1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r w:rsidRPr="004363AB">
              <w:rPr>
                <w:rFonts w:ascii="Times New Roman" w:eastAsia="Times New Roman" w:hAnsi="Times New Roman" w:cs="Times New Roman"/>
                <w:sz w:val="20"/>
                <w:szCs w:val="20"/>
                <w:lang w:eastAsia="id-ID"/>
              </w:rPr>
              <w:t xml:space="preserve">Jumlah pengaduan masyarakat tentang kinerja pengelolaan hutan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sz w:val="20"/>
                <w:szCs w:val="20"/>
                <w:lang w:eastAsia="id-ID"/>
              </w:rPr>
            </w:pPr>
          </w:p>
        </w:tc>
        <w:tc>
          <w:tcPr>
            <w:tcW w:w="1068"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255"/>
        </w:trPr>
        <w:tc>
          <w:tcPr>
            <w:tcW w:w="4098" w:type="dxa"/>
            <w:gridSpan w:val="3"/>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Isu dalam PGA REDD+</w:t>
            </w:r>
          </w:p>
        </w:tc>
        <w:tc>
          <w:tcPr>
            <w:tcW w:w="5405" w:type="dxa"/>
            <w:gridSpan w:val="4"/>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FVIa1</w:t>
            </w:r>
          </w:p>
        </w:tc>
        <w:tc>
          <w:tcPr>
            <w:tcW w:w="1068"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REDD belum bergerak hingga pada upaya pemetaan siapa mendapatkan akses apa. Masih pembentukan kelembagaan.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4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Satgas REDD+</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REDD belum diimplmentasikan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b. Tingkat penerimaan Strategi REDD+ oleh para aktor</w:t>
            </w:r>
            <w:r w:rsidRPr="004363AB">
              <w:rPr>
                <w:rFonts w:ascii="Times New Roman" w:eastAsia="Times New Roman" w:hAnsi="Times New Roman" w:cs="Times New Roman"/>
                <w:b/>
                <w:bCs/>
                <w:color w:val="000000"/>
                <w:sz w:val="20"/>
                <w:szCs w:val="20"/>
                <w:lang w:eastAsia="id-ID"/>
              </w:rPr>
              <w:br/>
            </w:r>
          </w:p>
        </w:tc>
      </w:tr>
      <w:tr w:rsidR="004363AB" w:rsidRPr="004363AB" w:rsidTr="004363AB">
        <w:trPr>
          <w:trHeight w:val="66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FVIb1</w:t>
            </w:r>
          </w:p>
        </w:tc>
        <w:tc>
          <w:tcPr>
            <w:tcW w:w="1068" w:type="dxa"/>
            <w:vMerge w:val="restart"/>
            <w:tcBorders>
              <w:top w:val="nil"/>
              <w:left w:val="single" w:sz="4" w:space="0" w:color="auto"/>
              <w:bottom w:val="single" w:sz="4" w:space="0" w:color="000000"/>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Bagaimana penerimaan Strate-gi REDD+ oleh para aktor?</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000000" w:fill="FFFF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127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Bappeda</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bisa dinilai, sebab REDD memang belum memiliki keberadaan yang solid. Strategi belum jelas. Semua kegiatan hanya bersifat proyek (bila ada kucuran dana).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168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Karena keberadaan dan pelaksanaam REDD tidak jelas. Sulit menentukan bagi semua pihak menerima atau menolak.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204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Surat: 522/1102</w:t>
            </w:r>
            <w:r w:rsidRPr="004363AB">
              <w:rPr>
                <w:rFonts w:ascii="Times New Roman" w:eastAsia="Times New Roman" w:hAnsi="Times New Roman" w:cs="Times New Roman"/>
                <w:color w:val="000000"/>
                <w:sz w:val="20"/>
                <w:szCs w:val="20"/>
                <w:lang w:eastAsia="id-ID"/>
              </w:rPr>
              <w:br/>
              <w:t>Perihak Dukungan DPRA terhadap Implemntasi Proyek REDD dalam Kawasan Ulumasen.</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Penerimaannya mengambang, sebab REDD masih belum jelas. Hanya memang ada surat dukungan DPRA terhadapa strategi dan solusi agar implementasi REDD diterima masyarakat. Masyarakat diberikana keuntungan 50% jika REDD bener-2 dijalankan dan ada hasilnya.</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FVIb2</w:t>
            </w:r>
          </w:p>
        </w:tc>
        <w:tc>
          <w:tcPr>
            <w:tcW w:w="1068" w:type="dxa"/>
            <w:vMerge w:val="restart"/>
            <w:tcBorders>
              <w:top w:val="nil"/>
              <w:left w:val="single" w:sz="4" w:space="0" w:color="auto"/>
              <w:bottom w:val="single" w:sz="4" w:space="0" w:color="000000"/>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Kelembagaan REDD+ sudah memadai?</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Belum memadai. Masih bersifat embrional.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Bappeda</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Kurang memadai.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190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Task Force REDD Aceh memiliki kepengurusan, tetapi tidak jelas apa yang sudah mereka kerjakan, dan terdiri pihak mana saja keanggotaannya.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Organisasi Masyarakat Adat </w:t>
            </w:r>
            <w:r w:rsidRPr="004363AB">
              <w:rPr>
                <w:rFonts w:ascii="Times New Roman" w:eastAsia="Times New Roman" w:hAnsi="Times New Roman" w:cs="Times New Roman"/>
                <w:color w:val="000000"/>
                <w:sz w:val="20"/>
                <w:szCs w:val="20"/>
                <w:lang w:eastAsia="id-ID"/>
              </w:rPr>
              <w:lastRenderedPageBreak/>
              <w:t>Lokal</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memadai. Tidak jelas statusnya </w:t>
            </w:r>
            <w:r w:rsidRPr="004363AB">
              <w:rPr>
                <w:rFonts w:ascii="Times New Roman" w:eastAsia="Times New Roman" w:hAnsi="Times New Roman" w:cs="Times New Roman"/>
                <w:color w:val="000000"/>
                <w:sz w:val="20"/>
                <w:szCs w:val="20"/>
                <w:lang w:eastAsia="id-ID"/>
              </w:rPr>
              <w:lastRenderedPageBreak/>
              <w:t>dimana tempat/kantor  REDD sekarang.</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1</w:t>
            </w:r>
          </w:p>
        </w:tc>
      </w:tr>
      <w:tr w:rsidR="004363AB" w:rsidRPr="004363AB" w:rsidTr="004363A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FVIb3</w:t>
            </w:r>
          </w:p>
        </w:tc>
        <w:tc>
          <w:tcPr>
            <w:tcW w:w="1068" w:type="dxa"/>
            <w:vMerge w:val="restart"/>
            <w:tcBorders>
              <w:top w:val="nil"/>
              <w:left w:val="single" w:sz="4" w:space="0" w:color="auto"/>
              <w:bottom w:val="single" w:sz="4" w:space="0" w:color="000000"/>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Kerangka Pengaman sudah memadai?</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Belum ada kerangka pengaman. Sejauh ini belum ada pembahasan yang serius soal kerangka pengaman REDD</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1020"/>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Bappeda</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Kurang memadai. Sumber pendanaan yang tidak jelas. Komitmen pemda juga setengah-setengah.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2</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Belum memahami secara jelas apa bentuk kerangka pengaman dalam REDD</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mengerti</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FVIb4</w:t>
            </w:r>
          </w:p>
        </w:tc>
        <w:tc>
          <w:tcPr>
            <w:tcW w:w="1068" w:type="dxa"/>
            <w:vMerge w:val="restart"/>
            <w:tcBorders>
              <w:top w:val="nil"/>
              <w:left w:val="single" w:sz="4" w:space="0" w:color="auto"/>
              <w:bottom w:val="single" w:sz="4" w:space="0" w:color="000000"/>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2316" w:type="dxa"/>
            <w:vMerge w:val="restart"/>
            <w:tcBorders>
              <w:top w:val="nil"/>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Apakah (mekanisme) MRV sudah memadai?</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Bappeda</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LSM</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000000" w:fill="FFFF00"/>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r>
      <w:tr w:rsidR="004363AB" w:rsidRPr="004363AB" w:rsidTr="004363AB">
        <w:trPr>
          <w:trHeight w:val="765"/>
        </w:trPr>
        <w:tc>
          <w:tcPr>
            <w:tcW w:w="714"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2316" w:type="dxa"/>
            <w:vMerge/>
            <w:tcBorders>
              <w:top w:val="nil"/>
              <w:left w:val="single" w:sz="4" w:space="0" w:color="auto"/>
              <w:bottom w:val="single" w:sz="4" w:space="0" w:color="auto"/>
              <w:right w:val="single" w:sz="4" w:space="0" w:color="auto"/>
            </w:tcBorders>
            <w:vAlign w:val="center"/>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Organisasi Masyarakat Adat Lokal</w:t>
            </w:r>
          </w:p>
        </w:tc>
        <w:tc>
          <w:tcPr>
            <w:tcW w:w="1627"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123" w:type="dxa"/>
            <w:tcBorders>
              <w:top w:val="nil"/>
              <w:left w:val="nil"/>
              <w:bottom w:val="single" w:sz="4" w:space="0" w:color="auto"/>
              <w:right w:val="single" w:sz="4" w:space="0" w:color="auto"/>
            </w:tcBorders>
            <w:shd w:val="clear" w:color="000000" w:fill="000000"/>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mengerti apa itu MRV. </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c. Tingkat deforestasi di lokasi assesmen</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Kementerian &amp; Dinas Kehutanan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FVIc1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Tingkat deforestasi di lokasi assesmen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data di dinas. Karena tidak ada anggaram</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d. Tingkat degradasi hutan di lokasi assesmen</w:t>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Kementerian &amp; Dinas Kehutanan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FVId1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Tingkat degradasi hutan di </w:t>
            </w:r>
            <w:r w:rsidRPr="004363AB">
              <w:rPr>
                <w:rFonts w:ascii="Times New Roman" w:eastAsia="Times New Roman" w:hAnsi="Times New Roman" w:cs="Times New Roman"/>
                <w:color w:val="000000"/>
                <w:sz w:val="20"/>
                <w:szCs w:val="20"/>
                <w:lang w:eastAsia="id-ID"/>
              </w:rPr>
              <w:lastRenderedPageBreak/>
              <w:t xml:space="preserve">lokasi assesmen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Tidak ada data di dinas. Karena tidak ada </w:t>
            </w:r>
            <w:r w:rsidRPr="004363AB">
              <w:rPr>
                <w:rFonts w:ascii="Times New Roman" w:eastAsia="Times New Roman" w:hAnsi="Times New Roman" w:cs="Times New Roman"/>
                <w:color w:val="000000"/>
                <w:sz w:val="20"/>
                <w:szCs w:val="20"/>
                <w:lang w:eastAsia="id-ID"/>
              </w:rPr>
              <w:lastRenderedPageBreak/>
              <w:t>anggaran untuk melakukan pengukuran tingkat degradasi hutan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lastRenderedPageBreak/>
              <w:t>1</w:t>
            </w:r>
          </w:p>
        </w:tc>
      </w:tr>
      <w:tr w:rsidR="004363AB" w:rsidRPr="004363AB" w:rsidTr="004363AB">
        <w:trPr>
          <w:trHeight w:val="255"/>
        </w:trPr>
        <w:tc>
          <w:tcPr>
            <w:tcW w:w="71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084"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627"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123"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c>
          <w:tcPr>
            <w:tcW w:w="1571"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p>
        </w:tc>
      </w:tr>
      <w:tr w:rsidR="004363AB" w:rsidRPr="004363AB" w:rsidTr="004363AB">
        <w:trPr>
          <w:trHeight w:val="6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Indikator</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p>
        </w:tc>
        <w:tc>
          <w:tcPr>
            <w:tcW w:w="6787" w:type="dxa"/>
            <w:gridSpan w:val="5"/>
            <w:tcBorders>
              <w:top w:val="nil"/>
              <w:left w:val="nil"/>
              <w:bottom w:val="nil"/>
              <w:right w:val="nil"/>
            </w:tcBorders>
            <w:shd w:val="clear" w:color="auto" w:fill="auto"/>
            <w:hideMark/>
          </w:tcPr>
          <w:p w:rsidR="004363AB" w:rsidRPr="004363AB" w:rsidRDefault="004363AB" w:rsidP="004363AB">
            <w:pPr>
              <w:spacing w:after="24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4363AB">
              <w:rPr>
                <w:rFonts w:ascii="Times New Roman" w:eastAsia="Times New Roman" w:hAnsi="Times New Roman" w:cs="Times New Roman"/>
                <w:b/>
                <w:bCs/>
                <w:color w:val="000000"/>
                <w:sz w:val="20"/>
                <w:szCs w:val="20"/>
                <w:lang w:eastAsia="id-ID"/>
              </w:rPr>
              <w:br/>
              <w:t xml:space="preserve">  REDD+ (demonstration ativities)</w:t>
            </w:r>
            <w:r w:rsidRPr="004363AB">
              <w:rPr>
                <w:rFonts w:ascii="Times New Roman" w:eastAsia="Times New Roman" w:hAnsi="Times New Roman" w:cs="Times New Roman"/>
                <w:b/>
                <w:bCs/>
                <w:color w:val="000000"/>
                <w:sz w:val="20"/>
                <w:szCs w:val="20"/>
                <w:lang w:eastAsia="id-ID"/>
              </w:rPr>
              <w:br/>
            </w:r>
          </w:p>
        </w:tc>
      </w:tr>
      <w:tr w:rsidR="004363AB" w:rsidRPr="004363AB" w:rsidTr="004363AB">
        <w:trPr>
          <w:trHeight w:val="300"/>
        </w:trPr>
        <w:tc>
          <w:tcPr>
            <w:tcW w:w="1782" w:type="dxa"/>
            <w:gridSpan w:val="2"/>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informasi</w:t>
            </w:r>
          </w:p>
        </w:tc>
        <w:tc>
          <w:tcPr>
            <w:tcW w:w="2316" w:type="dxa"/>
            <w:tcBorders>
              <w:top w:val="nil"/>
              <w:left w:val="nil"/>
              <w:bottom w:val="nil"/>
              <w:right w:val="nil"/>
            </w:tcBorders>
            <w:shd w:val="clear" w:color="auto" w:fill="auto"/>
            <w:noWrap/>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p>
        </w:tc>
        <w:tc>
          <w:tcPr>
            <w:tcW w:w="6787" w:type="dxa"/>
            <w:gridSpan w:val="5"/>
            <w:tcBorders>
              <w:top w:val="nil"/>
              <w:left w:val="nil"/>
              <w:bottom w:val="single" w:sz="4" w:space="0" w:color="auto"/>
              <w:right w:val="nil"/>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 Kementerian &amp; Dinas Kehutanan</w:t>
            </w:r>
          </w:p>
        </w:tc>
      </w:tr>
      <w:tr w:rsidR="004363AB" w:rsidRPr="004363AB" w:rsidTr="004363A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Panduan Analisis Dokumen</w:t>
            </w:r>
          </w:p>
        </w:tc>
        <w:tc>
          <w:tcPr>
            <w:tcW w:w="2316" w:type="dxa"/>
            <w:tcBorders>
              <w:top w:val="single" w:sz="4" w:space="0" w:color="auto"/>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Pertanyaan Wawancara</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Sumber Data</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Uraian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Dokumen</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b/>
                <w:bCs/>
                <w:color w:val="000000"/>
                <w:sz w:val="20"/>
                <w:szCs w:val="20"/>
                <w:lang w:eastAsia="id-ID"/>
              </w:rPr>
            </w:pPr>
            <w:r w:rsidRPr="004363AB">
              <w:rPr>
                <w:rFonts w:ascii="Times New Roman" w:eastAsia="Times New Roman" w:hAnsi="Times New Roman" w:cs="Times New Roman"/>
                <w:b/>
                <w:bCs/>
                <w:color w:val="000000"/>
                <w:sz w:val="20"/>
                <w:szCs w:val="20"/>
                <w:lang w:eastAsia="id-ID"/>
              </w:rPr>
              <w:t>Kategori Data Wawancara</w:t>
            </w:r>
          </w:p>
        </w:tc>
      </w:tr>
      <w:tr w:rsidR="004363AB" w:rsidRPr="004363AB" w:rsidTr="004363A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FVIe1</w:t>
            </w:r>
          </w:p>
        </w:tc>
        <w:tc>
          <w:tcPr>
            <w:tcW w:w="1068"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2316"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 </w:t>
            </w:r>
          </w:p>
        </w:tc>
        <w:tc>
          <w:tcPr>
            <w:tcW w:w="1084"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Kehutanan</w:t>
            </w:r>
          </w:p>
        </w:tc>
        <w:tc>
          <w:tcPr>
            <w:tcW w:w="1627"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Tidak ada Dokumen</w:t>
            </w:r>
          </w:p>
        </w:tc>
        <w:tc>
          <w:tcPr>
            <w:tcW w:w="1123"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c>
          <w:tcPr>
            <w:tcW w:w="1571" w:type="dxa"/>
            <w:tcBorders>
              <w:top w:val="nil"/>
              <w:left w:val="nil"/>
              <w:bottom w:val="single" w:sz="4" w:space="0" w:color="auto"/>
              <w:right w:val="single" w:sz="4" w:space="0" w:color="auto"/>
            </w:tcBorders>
            <w:shd w:val="clear" w:color="auto" w:fill="auto"/>
            <w:hideMark/>
          </w:tcPr>
          <w:p w:rsidR="004363AB" w:rsidRPr="004363AB" w:rsidRDefault="004363AB" w:rsidP="004363AB">
            <w:pPr>
              <w:spacing w:after="0" w:line="240" w:lineRule="auto"/>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REDD belum dilaksananakan</w:t>
            </w:r>
          </w:p>
        </w:tc>
        <w:tc>
          <w:tcPr>
            <w:tcW w:w="1382" w:type="dxa"/>
            <w:tcBorders>
              <w:top w:val="nil"/>
              <w:left w:val="nil"/>
              <w:bottom w:val="single" w:sz="4" w:space="0" w:color="auto"/>
              <w:right w:val="single" w:sz="4" w:space="0" w:color="auto"/>
            </w:tcBorders>
            <w:shd w:val="clear" w:color="auto" w:fill="auto"/>
            <w:noWrap/>
            <w:hideMark/>
          </w:tcPr>
          <w:p w:rsidR="004363AB" w:rsidRPr="004363AB" w:rsidRDefault="004363AB" w:rsidP="004363AB">
            <w:pPr>
              <w:spacing w:after="0" w:line="240" w:lineRule="auto"/>
              <w:jc w:val="center"/>
              <w:rPr>
                <w:rFonts w:ascii="Times New Roman" w:eastAsia="Times New Roman" w:hAnsi="Times New Roman" w:cs="Times New Roman"/>
                <w:color w:val="000000"/>
                <w:sz w:val="20"/>
                <w:szCs w:val="20"/>
                <w:lang w:eastAsia="id-ID"/>
              </w:rPr>
            </w:pPr>
            <w:r w:rsidRPr="004363AB">
              <w:rPr>
                <w:rFonts w:ascii="Times New Roman" w:eastAsia="Times New Roman" w:hAnsi="Times New Roman" w:cs="Times New Roman"/>
                <w:color w:val="000000"/>
                <w:sz w:val="20"/>
                <w:szCs w:val="20"/>
                <w:lang w:eastAsia="id-ID"/>
              </w:rPr>
              <w:t>1</w:t>
            </w:r>
          </w:p>
        </w:tc>
      </w:tr>
    </w:tbl>
    <w:p w:rsidR="004363AB" w:rsidRDefault="004363AB"/>
    <w:sectPr w:rsidR="004363A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3070FE"/>
    <w:rsid w:val="004165D1"/>
    <w:rsid w:val="004363AB"/>
    <w:rsid w:val="004570C7"/>
    <w:rsid w:val="005D2D3D"/>
    <w:rsid w:val="006E5970"/>
    <w:rsid w:val="009F3E98"/>
    <w:rsid w:val="00A91768"/>
    <w:rsid w:val="00BB5203"/>
    <w:rsid w:val="00C622FE"/>
    <w:rsid w:val="00D74DB4"/>
    <w:rsid w:val="00D9058A"/>
    <w:rsid w:val="00F112E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4363AB"/>
    <w:pPr>
      <w:spacing w:before="100" w:beforeAutospacing="1" w:after="100" w:afterAutospacing="1" w:line="240" w:lineRule="auto"/>
    </w:pPr>
    <w:rPr>
      <w:rFonts w:ascii="Tahoma" w:eastAsia="Times New Roman" w:hAnsi="Tahoma" w:cs="Tahoma"/>
      <w:b/>
      <w:bCs/>
      <w:color w:val="000000"/>
      <w:sz w:val="18"/>
      <w:szCs w:val="18"/>
      <w:lang w:eastAsia="id-ID"/>
    </w:rPr>
  </w:style>
  <w:style w:type="paragraph" w:customStyle="1" w:styleId="font8">
    <w:name w:val="font8"/>
    <w:basedOn w:val="Normal"/>
    <w:rsid w:val="004363AB"/>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9">
    <w:name w:val="font9"/>
    <w:basedOn w:val="Normal"/>
    <w:rsid w:val="004363AB"/>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9">
    <w:name w:val="xl119"/>
    <w:basedOn w:val="Normal"/>
    <w:rsid w:val="004363A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4363A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4363A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288710222">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376657388">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19</Pages>
  <Words>3929</Words>
  <Characters>22398</Characters>
  <Application>Microsoft Office Word</Application>
  <DocSecurity>0</DocSecurity>
  <Lines>186</Lines>
  <Paragraphs>52</Paragraphs>
  <ScaleCrop>false</ScaleCrop>
  <Company/>
  <LinksUpToDate>false</LinksUpToDate>
  <CharactersWithSpaces>26275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6</cp:revision>
  <dcterms:created xsi:type="dcterms:W3CDTF">2012-10-16T01:42:00Z</dcterms:created>
  <dcterms:modified xsi:type="dcterms:W3CDTF">2012-10-16T09:01:00Z</dcterms:modified>
</cp:coreProperties>
</file>